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093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附件2</w:t>
      </w:r>
    </w:p>
    <w:p w14:paraId="6D487B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
          <w:bCs/>
          <w:color w:val="auto"/>
          <w:sz w:val="28"/>
          <w:szCs w:val="28"/>
          <w:u w:val="none"/>
          <w:lang w:val="en-US" w:eastAsia="zh-CN"/>
        </w:rPr>
      </w:pPr>
      <w:bookmarkStart w:id="0" w:name="_GoBack"/>
      <w:r>
        <w:rPr>
          <w:rFonts w:hint="eastAsia" w:ascii="方正小标宋_GBK" w:hAnsi="方正小标宋_GBK" w:eastAsia="方正小标宋_GBK" w:cs="方正小标宋_GBK"/>
          <w:b w:val="0"/>
          <w:bCs w:val="0"/>
          <w:color w:val="auto"/>
          <w:sz w:val="44"/>
          <w:szCs w:val="44"/>
          <w:u w:val="none"/>
          <w:lang w:val="en-US" w:eastAsia="zh-CN"/>
        </w:rPr>
        <w:t>招生专业对应体检要求提示</w:t>
      </w:r>
    </w:p>
    <w:bookmarkEnd w:id="0"/>
    <w:p w14:paraId="0C6016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p>
    <w:p w14:paraId="7B8229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《普通高等学校招生体检工作指导意见》（教学〔2003〕3号）请扫下图二维码。</w:t>
      </w:r>
    </w:p>
    <w:p w14:paraId="6A88092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u w:val="none"/>
          <w:lang w:val="en-US" w:eastAsia="zh-CN"/>
        </w:rPr>
      </w:pPr>
      <w:r>
        <w:rPr>
          <w:rFonts w:ascii="宋体" w:hAnsi="宋体" w:eastAsia="宋体" w:cs="宋体"/>
          <w:color w:val="auto"/>
          <w:sz w:val="24"/>
          <w:szCs w:val="24"/>
          <w:u w:val="none"/>
        </w:rPr>
        <w:drawing>
          <wp:anchor distT="0" distB="0" distL="114300" distR="114300" simplePos="0" relativeHeight="251659264" behindDoc="1" locked="0" layoutInCell="1" allowOverlap="1">
            <wp:simplePos x="0" y="0"/>
            <wp:positionH relativeFrom="column">
              <wp:posOffset>1896110</wp:posOffset>
            </wp:positionH>
            <wp:positionV relativeFrom="paragraph">
              <wp:posOffset>104775</wp:posOffset>
            </wp:positionV>
            <wp:extent cx="1509395" cy="1429385"/>
            <wp:effectExtent l="0" t="0" r="14605" b="18415"/>
            <wp:wrapTight wrapText="bothSides">
              <wp:wrapPolygon>
                <wp:start x="0" y="0"/>
                <wp:lineTo x="0" y="21303"/>
                <wp:lineTo x="21264" y="21303"/>
                <wp:lineTo x="21264" y="0"/>
                <wp:lineTo x="0" y="0"/>
              </wp:wrapPolygon>
            </wp:wrapTight>
            <wp:docPr id="1" name="图片 1" descr="IMG_256"/>
            <wp:cNvGraphicFramePr/>
            <a:graphic xmlns:a="http://schemas.openxmlformats.org/drawingml/2006/main">
              <a:graphicData uri="http://schemas.openxmlformats.org/drawingml/2006/picture">
                <pic:pic xmlns:pic="http://schemas.openxmlformats.org/drawingml/2006/picture">
                  <pic:nvPicPr>
                    <pic:cNvPr id="1" name="图片 1" descr="IMG_256"/>
                    <pic:cNvPicPr/>
                  </pic:nvPicPr>
                  <pic:blipFill>
                    <a:blip r:embed="rId4"/>
                    <a:srcRect/>
                    <a:stretch>
                      <a:fillRect/>
                    </a:stretch>
                  </pic:blipFill>
                  <pic:spPr>
                    <a:xfrm>
                      <a:off x="0" y="0"/>
                      <a:ext cx="1509395" cy="1429385"/>
                    </a:xfrm>
                    <a:prstGeom prst="rect">
                      <a:avLst/>
                    </a:prstGeom>
                    <a:noFill/>
                    <a:ln w="9525">
                      <a:noFill/>
                    </a:ln>
                  </pic:spPr>
                </pic:pic>
              </a:graphicData>
            </a:graphic>
          </wp:anchor>
        </w:drawing>
      </w:r>
    </w:p>
    <w:p w14:paraId="2CC7CDF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u w:val="none"/>
          <w:lang w:val="en-US" w:eastAsia="zh-CN"/>
        </w:rPr>
      </w:pPr>
    </w:p>
    <w:p w14:paraId="3288B0A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u w:val="none"/>
          <w:lang w:val="en-US" w:eastAsia="zh-CN"/>
        </w:rPr>
      </w:pPr>
    </w:p>
    <w:p w14:paraId="41EFEE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u w:val="none"/>
          <w:lang w:val="en-US" w:eastAsia="zh-CN"/>
        </w:rPr>
      </w:pPr>
    </w:p>
    <w:p w14:paraId="3078EC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特别提醒广大考生严肃认真阅读教育部《普通高等学校招生体检工作指导意见》（教学〔2003〕3号）。我校公费师范生招生专业中相关专业体检要求对应在指导意见文件中第二条第1、2、3款，</w:t>
      </w:r>
      <w:r>
        <w:rPr>
          <w:rFonts w:hint="eastAsia" w:ascii="仿宋_GB2312" w:hAnsi="仿宋_GB2312" w:eastAsia="仿宋_GB2312" w:cs="仿宋_GB2312"/>
          <w:b/>
          <w:bCs/>
          <w:color w:val="auto"/>
          <w:sz w:val="32"/>
          <w:szCs w:val="32"/>
          <w:u w:val="none"/>
          <w:lang w:val="en-US" w:eastAsia="zh-CN"/>
        </w:rPr>
        <w:t>如考生不符合《江西省教师资格申请人员体检标准》要求，请谨慎报。</w:t>
      </w:r>
    </w:p>
    <w:p w14:paraId="5C9C8E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相应招生专业对应体检要求如下：</w:t>
      </w:r>
    </w:p>
    <w:p w14:paraId="1A202E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患有下列疾病者，学校有关专业可不予录取</w:t>
      </w:r>
    </w:p>
    <w:p w14:paraId="26B104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轻度色觉异常（俗称色弱）</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色觉异常II度（俗称色盲）不能录取的专业：以颜色波长作为严格技术标准的</w:t>
      </w:r>
      <w:r>
        <w:rPr>
          <w:rFonts w:hint="eastAsia" w:ascii="仿宋_GB2312" w:hAnsi="仿宋_GB2312" w:eastAsia="仿宋_GB2312" w:cs="仿宋_GB2312"/>
          <w:b/>
          <w:bCs/>
          <w:color w:val="auto"/>
          <w:sz w:val="32"/>
          <w:szCs w:val="32"/>
          <w:u w:val="none"/>
          <w:lang w:val="en-US" w:eastAsia="zh-CN"/>
        </w:rPr>
        <w:t>生物科学类</w:t>
      </w:r>
      <w:r>
        <w:rPr>
          <w:rFonts w:hint="eastAsia" w:ascii="仿宋_GB2312" w:hAnsi="仿宋_GB2312" w:eastAsia="仿宋_GB2312" w:cs="仿宋_GB2312"/>
          <w:color w:val="auto"/>
          <w:sz w:val="32"/>
          <w:szCs w:val="32"/>
          <w:u w:val="none"/>
          <w:lang w:val="en-US" w:eastAsia="zh-CN"/>
        </w:rPr>
        <w:t>。</w:t>
      </w:r>
    </w:p>
    <w:p w14:paraId="74FECD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val="en-US" w:eastAsia="zh-CN"/>
        </w:rPr>
        <w:t>不能准确识别红、黄、绿、</w:t>
      </w:r>
      <w:r>
        <w:rPr>
          <w:rFonts w:hint="eastAsia" w:ascii="仿宋_GB2312" w:hAnsi="仿宋_GB2312" w:eastAsia="仿宋_GB2312" w:cs="仿宋_GB2312"/>
          <w:color w:val="auto"/>
          <w:sz w:val="32"/>
          <w:szCs w:val="32"/>
          <w:u w:val="none"/>
          <w:lang w:val="en-US" w:eastAsia="zh-CN"/>
        </w:rPr>
        <w:t>蓝</w:t>
      </w:r>
      <w:r>
        <w:rPr>
          <w:rFonts w:hint="default" w:ascii="仿宋_GB2312" w:hAnsi="仿宋_GB2312" w:eastAsia="仿宋_GB2312" w:cs="仿宋_GB2312"/>
          <w:color w:val="auto"/>
          <w:sz w:val="32"/>
          <w:szCs w:val="32"/>
          <w:u w:val="none"/>
          <w:lang w:val="en-US" w:eastAsia="zh-CN"/>
        </w:rPr>
        <w:t>、紫各种颜色中任何一种颜色的导线、按键、信号灯、几何图形者不能录取的专业：除同轻度色觉异常、色觉异常II度两类列出专业外，不能准确在显示器上识别红、黄、绿、</w:t>
      </w:r>
      <w:r>
        <w:rPr>
          <w:rFonts w:hint="eastAsia" w:ascii="仿宋_GB2312" w:hAnsi="仿宋_GB2312" w:eastAsia="仿宋_GB2312" w:cs="仿宋_GB2312"/>
          <w:color w:val="auto"/>
          <w:sz w:val="32"/>
          <w:szCs w:val="32"/>
          <w:u w:val="none"/>
          <w:lang w:val="en-US" w:eastAsia="zh-CN"/>
        </w:rPr>
        <w:t>蓝</w:t>
      </w:r>
      <w:r>
        <w:rPr>
          <w:rFonts w:hint="default" w:ascii="仿宋_GB2312" w:hAnsi="仿宋_GB2312" w:eastAsia="仿宋_GB2312" w:cs="仿宋_GB2312"/>
          <w:color w:val="auto"/>
          <w:sz w:val="32"/>
          <w:szCs w:val="32"/>
          <w:u w:val="none"/>
          <w:lang w:val="en-US" w:eastAsia="zh-CN"/>
        </w:rPr>
        <w:t>、紫各颜色中任何一种颜色的数码、字母者不能录取到</w:t>
      </w:r>
      <w:r>
        <w:rPr>
          <w:rFonts w:hint="default" w:ascii="仿宋_GB2312" w:hAnsi="仿宋_GB2312" w:eastAsia="仿宋_GB2312" w:cs="仿宋_GB2312"/>
          <w:b/>
          <w:bCs/>
          <w:color w:val="auto"/>
          <w:sz w:val="32"/>
          <w:szCs w:val="32"/>
          <w:u w:val="none"/>
          <w:lang w:val="en-US" w:eastAsia="zh-CN"/>
        </w:rPr>
        <w:t>计算机科学与技术</w:t>
      </w:r>
      <w:r>
        <w:rPr>
          <w:rFonts w:hint="default" w:ascii="仿宋_GB2312" w:hAnsi="仿宋_GB2312" w:eastAsia="仿宋_GB2312" w:cs="仿宋_GB2312"/>
          <w:color w:val="auto"/>
          <w:sz w:val="32"/>
          <w:szCs w:val="32"/>
          <w:u w:val="none"/>
          <w:lang w:val="en-US" w:eastAsia="zh-CN"/>
        </w:rPr>
        <w:t>等专业。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4024A"/>
    <w:rsid w:val="76484E1E"/>
    <w:rsid w:val="7A94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2025-05-30T00:50:00Z</dcterms:created>
  <dc:creator>赵弘</dc:creator>
  <cp:lastModifiedBy>赵弘</cp:lastModifiedBy>
  <dcterms:modified xsi:type="dcterms:W3CDTF">2025-05-30T00:53:02Z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82B1A2570DEA4F259542D426A12D8271_13</vt:lpwstr>
  </property>
  <property fmtid="{D5CDD505-2E9C-101B-9397-08002B2CF9AE}" pid="4" name="KSOTemplateDocerSaveRecord">
    <vt:lpwstr>eyJoZGlkIjoiNjkwYjdiZmFmODcwOWM1YTM3ZWM5MzM5NGFkYTk2ODEiLCJ1c2VySWQiOiIxNjkwMDc3ODA1In0=</vt:lpwstr>
  </property>
</Properties>
</file>